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CDE" w:rsidRDefault="00287CDE" w:rsidP="00276D9D">
      <w:pPr>
        <w:spacing w:line="480" w:lineRule="auto"/>
        <w:rPr>
          <w:b/>
        </w:rPr>
      </w:pPr>
    </w:p>
    <w:p w:rsidR="00287CDE" w:rsidRPr="00287CDE" w:rsidRDefault="00287CDE" w:rsidP="00287CDE">
      <w:pPr>
        <w:spacing w:line="480" w:lineRule="auto"/>
        <w:jc w:val="center"/>
        <w:rPr>
          <w:b/>
        </w:rPr>
      </w:pPr>
      <w:r w:rsidRPr="00287CDE">
        <w:rPr>
          <w:b/>
        </w:rPr>
        <w:t>Nursing – Shock</w:t>
      </w:r>
    </w:p>
    <w:p w:rsidR="00287CDE" w:rsidRDefault="00287CDE" w:rsidP="00287CDE">
      <w:pPr>
        <w:spacing w:line="480" w:lineRule="auto"/>
        <w:jc w:val="center"/>
      </w:pPr>
    </w:p>
    <w:p w:rsidR="00287CDE" w:rsidRDefault="00287CDE" w:rsidP="00276D9D">
      <w:pPr>
        <w:spacing w:line="480" w:lineRule="auto"/>
      </w:pPr>
    </w:p>
    <w:p w:rsidR="00287CDE" w:rsidRPr="00287CDE" w:rsidRDefault="00287CDE" w:rsidP="00287CDE">
      <w:pPr>
        <w:spacing w:line="480" w:lineRule="auto"/>
        <w:jc w:val="center"/>
      </w:pPr>
      <w:r w:rsidRPr="00287CDE">
        <w:t>Student’s Name</w:t>
      </w:r>
    </w:p>
    <w:p w:rsidR="00287CDE" w:rsidRPr="00287CDE" w:rsidRDefault="00287CDE" w:rsidP="00287CDE">
      <w:pPr>
        <w:spacing w:line="480" w:lineRule="auto"/>
        <w:jc w:val="center"/>
      </w:pPr>
      <w:r w:rsidRPr="00287CDE">
        <w:t>Institution of Affiliation</w:t>
      </w:r>
    </w:p>
    <w:p w:rsidR="00287CDE" w:rsidRPr="00287CDE" w:rsidRDefault="00287CDE" w:rsidP="00287CDE">
      <w:pPr>
        <w:spacing w:line="480" w:lineRule="auto"/>
        <w:jc w:val="center"/>
      </w:pPr>
      <w:r w:rsidRPr="00287CDE">
        <w:t>Course Code and Name</w:t>
      </w:r>
    </w:p>
    <w:p w:rsidR="00287CDE" w:rsidRPr="00287CDE" w:rsidRDefault="00287CDE" w:rsidP="00287CDE">
      <w:pPr>
        <w:spacing w:line="480" w:lineRule="auto"/>
        <w:jc w:val="center"/>
      </w:pPr>
      <w:r w:rsidRPr="00287CDE">
        <w:t>Professor</w:t>
      </w:r>
    </w:p>
    <w:p w:rsidR="00287CDE" w:rsidRPr="00287CDE" w:rsidRDefault="00287CDE" w:rsidP="00287CDE">
      <w:pPr>
        <w:spacing w:line="480" w:lineRule="auto"/>
        <w:jc w:val="center"/>
      </w:pPr>
      <w:r w:rsidRPr="00287CDE">
        <w:t>Date</w:t>
      </w:r>
    </w:p>
    <w:p w:rsidR="00287CDE" w:rsidRDefault="00287CDE">
      <w:r>
        <w:br w:type="page"/>
      </w:r>
    </w:p>
    <w:p w:rsidR="00287CDE" w:rsidRPr="00276D9D" w:rsidRDefault="00287CDE" w:rsidP="00287CDE">
      <w:pPr>
        <w:spacing w:line="480" w:lineRule="auto"/>
        <w:jc w:val="center"/>
        <w:rPr>
          <w:b/>
        </w:rPr>
      </w:pPr>
      <w:r w:rsidRPr="00276D9D">
        <w:rPr>
          <w:b/>
        </w:rPr>
        <w:lastRenderedPageBreak/>
        <w:t>Shock</w:t>
      </w:r>
    </w:p>
    <w:p w:rsidR="00287CDE" w:rsidRPr="00287CDE" w:rsidRDefault="00F82136" w:rsidP="00287CDE">
      <w:pPr>
        <w:spacing w:line="480" w:lineRule="auto"/>
        <w:ind w:firstLine="720"/>
      </w:pPr>
      <w:r w:rsidRPr="00287CDE">
        <w:t>Shock refers to inadequate tissue perfusion with a relatively or absolutely inadequate cardiac output. The inadequate tissue perfusion leads to an initial reversible injury, however, sustained shock eventually leading to irreversible tissue injury. Shock is grouped into five classes based on the underlying mechanism that impairs circulation and hence tissue perfusion</w:t>
      </w:r>
      <w:r w:rsidR="00276D9D">
        <w:t xml:space="preserve"> </w:t>
      </w:r>
      <w:r w:rsidR="00276D9D" w:rsidRPr="00287CDE">
        <w:t>(</w:t>
      </w:r>
      <w:proofErr w:type="spellStart"/>
      <w:r w:rsidR="00276D9D" w:rsidRPr="00287CDE">
        <w:t>Olaussen</w:t>
      </w:r>
      <w:proofErr w:type="spellEnd"/>
      <w:r w:rsidR="00276D9D" w:rsidRPr="00287CDE">
        <w:t xml:space="preserve"> et al., 2014)</w:t>
      </w:r>
      <w:bookmarkStart w:id="0" w:name="_GoBack"/>
      <w:bookmarkEnd w:id="0"/>
      <w:r w:rsidRPr="00287CDE">
        <w:t>. The first group is cardiogenic shock which refers to failure at the level of the heart and its pu</w:t>
      </w:r>
      <w:r w:rsidR="006B46AF" w:rsidRPr="00287CDE">
        <w:t>mping abilities. C</w:t>
      </w:r>
      <w:r w:rsidRPr="00287CDE">
        <w:t xml:space="preserve">ardiogenic shock </w:t>
      </w:r>
      <w:r w:rsidR="006B46AF" w:rsidRPr="00287CDE">
        <w:t>results from low cardiac output due to myocardial pump failure. It may be caused by myocardial damage (infarction), ventricular arrhythmias, extrinsic compression (cardiac tamponade) or outflow obstruction (for example pulmonary embolism). The second group is hypovolemic shock which results from low cardiac output due to loss of blood or plasma volume. The most common causes include hemorrhage or fluid loss from severe burns</w:t>
      </w:r>
      <w:r w:rsidR="00945F96">
        <w:t xml:space="preserve"> (</w:t>
      </w:r>
      <w:r w:rsidR="00945F96" w:rsidRPr="00287CDE">
        <w:t>Guyton &amp; Hall, 2006</w:t>
      </w:r>
      <w:r w:rsidR="00945F96">
        <w:t>)</w:t>
      </w:r>
      <w:r w:rsidR="006B46AF" w:rsidRPr="00287CDE">
        <w:t xml:space="preserve">.  </w:t>
      </w:r>
    </w:p>
    <w:p w:rsidR="0029191E" w:rsidRPr="00287CDE" w:rsidRDefault="006B46AF" w:rsidP="00287CDE">
      <w:pPr>
        <w:spacing w:line="480" w:lineRule="auto"/>
        <w:ind w:firstLine="720"/>
      </w:pPr>
      <w:r w:rsidRPr="00287CDE">
        <w:t>The third group is septic shock which refers to a systemic response to microbial infection which leads to generalized arterial vasodilation and veno</w:t>
      </w:r>
      <w:r w:rsidR="00DF3014" w:rsidRPr="00287CDE">
        <w:t xml:space="preserve">us pooling of blood. The cause </w:t>
      </w:r>
      <w:r w:rsidRPr="00287CDE">
        <w:t xml:space="preserve">of septic shock </w:t>
      </w:r>
      <w:r w:rsidR="00DF3014" w:rsidRPr="00287CDE">
        <w:t xml:space="preserve">is the arterial vasodilation and venous blood pooling that stems from the systemic immune response to microbial infection. The clinical examples of causes of septic shock include overwhelming microbial infections, </w:t>
      </w:r>
      <w:proofErr w:type="spellStart"/>
      <w:r w:rsidR="00DF3014" w:rsidRPr="00287CDE">
        <w:t>endotoxic</w:t>
      </w:r>
      <w:proofErr w:type="spellEnd"/>
      <w:r w:rsidR="00DF3014" w:rsidRPr="00287CDE">
        <w:t xml:space="preserve"> shock, gram-positive septicemia, fungal sepsis and infections by super-antigens such as toxic shock syndrome. The less common group of shock is neurogenic shock</w:t>
      </w:r>
      <w:r w:rsidR="001B47EA" w:rsidRPr="00287CDE">
        <w:t xml:space="preserve"> which is characterized by loss of vascular tone with peripheral pooling of blood. The most common causes of this type of shock include the loss of vascular tone which is associated with anesthesia or secondary to a spinal cord injury. The last group of shock is anaphylactic shock which results from systemic vasodilation and increased vascular permeability </w:t>
      </w:r>
      <w:r w:rsidR="001B47EA" w:rsidRPr="00287CDE">
        <w:lastRenderedPageBreak/>
        <w:t>that is triggered by an immunoglobulin E-mediated hypersensitivity reaction. It occurs following re-exposure to an allergen</w:t>
      </w:r>
      <w:r w:rsidR="00945F96">
        <w:t xml:space="preserve"> (</w:t>
      </w:r>
      <w:r w:rsidR="00945F96" w:rsidRPr="00287CDE">
        <w:t>Guyton &amp; Hall, 2006</w:t>
      </w:r>
      <w:r w:rsidR="00945F96">
        <w:t>)</w:t>
      </w:r>
      <w:r w:rsidR="001B47EA" w:rsidRPr="00287CDE">
        <w:t xml:space="preserve">. </w:t>
      </w:r>
    </w:p>
    <w:p w:rsidR="001B47EA" w:rsidRPr="00287CDE" w:rsidRDefault="001B47EA" w:rsidP="00287CDE">
      <w:pPr>
        <w:spacing w:line="480" w:lineRule="auto"/>
        <w:ind w:firstLine="720"/>
      </w:pPr>
      <w:r w:rsidRPr="00287CDE">
        <w:t>The clinical evolution of shock also depicts some of the clinical manifestation of the condition and it follows this sequence from hypotension to tachycardia in an attempt to increase tissue perfusion to tachypnea</w:t>
      </w:r>
      <w:r w:rsidR="00CC65F9" w:rsidRPr="00287CDE">
        <w:t xml:space="preserve"> (fast breathing)</w:t>
      </w:r>
      <w:r w:rsidRPr="00287CDE">
        <w:t xml:space="preserve">. The skin depicts decreasing </w:t>
      </w:r>
      <w:r w:rsidR="00CC65F9" w:rsidRPr="00287CDE">
        <w:t>temperature levels from warm s</w:t>
      </w:r>
      <w:r w:rsidRPr="00287CDE">
        <w:t xml:space="preserve">kin to cold skin to cyanosis. Renal insufficiency ensues before </w:t>
      </w:r>
      <w:proofErr w:type="spellStart"/>
      <w:r w:rsidRPr="00287CDE">
        <w:t>obtundance</w:t>
      </w:r>
      <w:proofErr w:type="spellEnd"/>
      <w:r w:rsidRPr="00287CDE">
        <w:t xml:space="preserve"> occur</w:t>
      </w:r>
      <w:r w:rsidR="00CC65F9" w:rsidRPr="00287CDE">
        <w:t>s</w:t>
      </w:r>
      <w:r w:rsidRPr="00287CDE">
        <w:t xml:space="preserve"> followed by death. </w:t>
      </w:r>
      <w:r w:rsidR="00CC65F9" w:rsidRPr="00287CDE">
        <w:t xml:space="preserve">The other clinical manifestations of the condition include anxiety and increased thirst that might be followed by confusion, unconsciousness, or </w:t>
      </w:r>
      <w:r w:rsidR="00093F92" w:rsidRPr="00287CDE">
        <w:t>cardiac</w:t>
      </w:r>
      <w:r w:rsidR="00CC65F9" w:rsidRPr="00287CDE">
        <w:t xml:space="preserve"> </w:t>
      </w:r>
      <w:r w:rsidR="00093F92" w:rsidRPr="00287CDE">
        <w:t>arrest, as</w:t>
      </w:r>
      <w:r w:rsidR="00CC65F9" w:rsidRPr="00287CDE">
        <w:t xml:space="preserve"> complications worsen</w:t>
      </w:r>
      <w:r w:rsidR="00DB5852" w:rsidRPr="00287CDE">
        <w:t xml:space="preserve"> (</w:t>
      </w:r>
      <w:r w:rsidR="00F93996" w:rsidRPr="00287CDE">
        <w:t>Guyton &amp; Hall, 2006</w:t>
      </w:r>
      <w:r w:rsidR="00DB5852" w:rsidRPr="00287CDE">
        <w:t>)</w:t>
      </w:r>
      <w:r w:rsidR="00CC65F9" w:rsidRPr="00287CDE">
        <w:t xml:space="preserve">. </w:t>
      </w:r>
    </w:p>
    <w:p w:rsidR="00CC65F9" w:rsidRPr="00287CDE" w:rsidRDefault="00CC65F9" w:rsidP="00287CDE">
      <w:pPr>
        <w:spacing w:line="480" w:lineRule="auto"/>
        <w:ind w:firstLine="720"/>
      </w:pPr>
      <w:r w:rsidRPr="00287CDE">
        <w:t>The evaluation of the condition is generally based on a combination of symptoms, physical examination, and laboratory tests</w:t>
      </w:r>
      <w:r w:rsidR="00DB5852" w:rsidRPr="00287CDE">
        <w:t xml:space="preserve"> (</w:t>
      </w:r>
      <w:r w:rsidR="00287CDE" w:rsidRPr="00287CDE">
        <w:t>American College of Surgeons, 2018</w:t>
      </w:r>
      <w:r w:rsidR="00DB5852" w:rsidRPr="00287CDE">
        <w:t>)</w:t>
      </w:r>
      <w:r w:rsidRPr="00287CDE">
        <w:t xml:space="preserve">. The main aspects of physical examination that raises suspicions for shock include a decreased pulse pressure that </w:t>
      </w:r>
      <w:r w:rsidR="00F93996" w:rsidRPr="00287CDE">
        <w:t>can be obtained from by s</w:t>
      </w:r>
      <w:r w:rsidRPr="00287CDE">
        <w:t>ubtracting diastolic blood pressure from systolic blood pressure or a fast heart rate</w:t>
      </w:r>
      <w:r w:rsidR="00DB5852" w:rsidRPr="00287CDE">
        <w:t xml:space="preserve"> (</w:t>
      </w:r>
      <w:r w:rsidR="00F93996" w:rsidRPr="00287CDE">
        <w:t>Guyton &amp; Hall, 2006</w:t>
      </w:r>
      <w:r w:rsidR="00DB5852" w:rsidRPr="00287CDE">
        <w:t>)</w:t>
      </w:r>
      <w:r w:rsidRPr="00287CDE">
        <w:t>. The heart rate divided by systolic blood pressure, known as the shock index (SI), of greater than 0.8 supports the diagnosis</w:t>
      </w:r>
      <w:r w:rsidR="00DB5852" w:rsidRPr="00287CDE">
        <w:t xml:space="preserve"> more than the low blood pressure or a fast heart rate in isolation (</w:t>
      </w:r>
      <w:proofErr w:type="spellStart"/>
      <w:r w:rsidR="00F93996" w:rsidRPr="00287CDE">
        <w:t>Olaussen</w:t>
      </w:r>
      <w:proofErr w:type="spellEnd"/>
      <w:r w:rsidR="00F93996" w:rsidRPr="00287CDE">
        <w:t xml:space="preserve"> et al., 2014</w:t>
      </w:r>
      <w:r w:rsidR="00DB5852" w:rsidRPr="00287CDE">
        <w:t>).</w:t>
      </w:r>
      <w:r w:rsidRPr="00287CDE">
        <w:t xml:space="preserve"> </w:t>
      </w:r>
    </w:p>
    <w:p w:rsidR="00DB5852" w:rsidRPr="00287CDE" w:rsidRDefault="00DB5852" w:rsidP="00287CDE">
      <w:pPr>
        <w:spacing w:line="480" w:lineRule="auto"/>
        <w:ind w:firstLine="720"/>
      </w:pPr>
      <w:r w:rsidRPr="00287CDE">
        <w:t xml:space="preserve">The treatment of shock is based on the likely underlying cause (2). The basic clinical guidelines for the management of shock include establishing an open airway and sufficient breathing. Efforts to maintain a normal blood temperature should also be made with the addition of vasopressors used in the cases of septic and anaphylactic shock. For septic shock, appropriate </w:t>
      </w:r>
      <w:r w:rsidR="003B3046" w:rsidRPr="00287CDE">
        <w:t xml:space="preserve">antibiotics should be administered to curtail the progression of the infection. For anaphylactic shock, </w:t>
      </w:r>
      <w:r w:rsidR="00093F92" w:rsidRPr="00287CDE">
        <w:t>appropriate</w:t>
      </w:r>
      <w:r w:rsidR="003B3046" w:rsidRPr="00287CDE">
        <w:t xml:space="preserve"> interventions should be taken to remove the offending allergen and the patient </w:t>
      </w:r>
      <w:r w:rsidR="003B3046" w:rsidRPr="00287CDE">
        <w:lastRenderedPageBreak/>
        <w:t xml:space="preserve">given anti-histamines to reduce the effects of histamine released during the exposure to the allergen. The cardiogenic and neurogenic shock, the underlying cause should be appropriately identified and sufficiently treated for example giving anti-arrhythmias to correct ventricular arrhythmias. For hypovolemic shock, any ongoing bleeding should be arrested and drugs to prevent diarrhea and or vomiting should be administered.  </w:t>
      </w:r>
      <w:r w:rsidR="00093F92" w:rsidRPr="00287CDE">
        <w:t>Intravenous fluid, such as Ringer’s lactate or packed</w:t>
      </w:r>
      <w:r w:rsidR="00093F92">
        <w:t xml:space="preserve"> red blood cells, is often administered in the cases of hypovolemic shock</w:t>
      </w:r>
      <w:r w:rsidR="00093F92" w:rsidRPr="00287CDE">
        <w:t xml:space="preserve"> (American College of Surgeons, 2018).</w:t>
      </w:r>
    </w:p>
    <w:p w:rsidR="00287CDE" w:rsidRDefault="00287CDE">
      <w:r>
        <w:br w:type="page"/>
      </w:r>
    </w:p>
    <w:p w:rsidR="003B3046" w:rsidRPr="00276D9D" w:rsidRDefault="003B3046" w:rsidP="00287CDE">
      <w:pPr>
        <w:spacing w:line="480" w:lineRule="auto"/>
        <w:jc w:val="center"/>
        <w:rPr>
          <w:b/>
        </w:rPr>
      </w:pPr>
      <w:r w:rsidRPr="00276D9D">
        <w:rPr>
          <w:b/>
        </w:rPr>
        <w:lastRenderedPageBreak/>
        <w:t>References</w:t>
      </w:r>
    </w:p>
    <w:p w:rsidR="00F93996" w:rsidRPr="00287CDE" w:rsidRDefault="00F93996" w:rsidP="00287CDE">
      <w:pPr>
        <w:spacing w:line="480" w:lineRule="auto"/>
        <w:ind w:left="720" w:hanging="720"/>
      </w:pPr>
      <w:proofErr w:type="gramStart"/>
      <w:r w:rsidRPr="00287CDE">
        <w:t>American College of Surgeons (2018).</w:t>
      </w:r>
      <w:proofErr w:type="gramEnd"/>
      <w:r w:rsidRPr="00287CDE">
        <w:t xml:space="preserve"> </w:t>
      </w:r>
      <w:r w:rsidRPr="00287CDE">
        <w:rPr>
          <w:i/>
        </w:rPr>
        <w:t>ATLS – Advanced Trauma Life Support</w:t>
      </w:r>
      <w:r w:rsidRPr="00287CDE">
        <w:t xml:space="preserve"> – Student Course Manual (10</w:t>
      </w:r>
      <w:r w:rsidR="00287CDE" w:rsidRPr="00287CDE">
        <w:t>th</w:t>
      </w:r>
      <w:r w:rsidRPr="00287CDE">
        <w:t xml:space="preserve"> </w:t>
      </w:r>
      <w:proofErr w:type="gramStart"/>
      <w:r w:rsidRPr="00287CDE">
        <w:t>ed</w:t>
      </w:r>
      <w:proofErr w:type="gramEnd"/>
      <w:r w:rsidRPr="00287CDE">
        <w:t>.</w:t>
      </w:r>
      <w:r w:rsidR="00287CDE" w:rsidRPr="00287CDE">
        <w:t>). p</w:t>
      </w:r>
      <w:r w:rsidRPr="00287CDE">
        <w:t>p. 43-52, 135</w:t>
      </w:r>
    </w:p>
    <w:p w:rsidR="00F93996" w:rsidRPr="00287CDE" w:rsidRDefault="00F93996" w:rsidP="00287CDE">
      <w:pPr>
        <w:spacing w:line="480" w:lineRule="auto"/>
        <w:ind w:left="720" w:hanging="720"/>
      </w:pPr>
      <w:proofErr w:type="gramStart"/>
      <w:r w:rsidRPr="00287CDE">
        <w:t>Guyton, A. &amp; Hall, J. (2006).</w:t>
      </w:r>
      <w:proofErr w:type="gramEnd"/>
      <w:r w:rsidRPr="00287CDE">
        <w:t xml:space="preserve"> Chapter 24: Circulatory Shock and Physiology of Its Treatment. In </w:t>
      </w:r>
      <w:proofErr w:type="spellStart"/>
      <w:r w:rsidRPr="00287CDE">
        <w:t>Gruliow</w:t>
      </w:r>
      <w:proofErr w:type="spellEnd"/>
      <w:r w:rsidRPr="00287CDE">
        <w:t xml:space="preserve"> Rebecca (</w:t>
      </w:r>
      <w:proofErr w:type="gramStart"/>
      <w:r w:rsidRPr="00287CDE">
        <w:t>ed</w:t>
      </w:r>
      <w:proofErr w:type="gramEnd"/>
      <w:r w:rsidRPr="00287CDE">
        <w:t>.). Textbook of Medical Physiology (11</w:t>
      </w:r>
      <w:r w:rsidRPr="00287CDE">
        <w:rPr>
          <w:vertAlign w:val="superscript"/>
        </w:rPr>
        <w:t>th</w:t>
      </w:r>
      <w:r w:rsidRPr="00287CDE">
        <w:t xml:space="preserve"> </w:t>
      </w:r>
      <w:proofErr w:type="gramStart"/>
      <w:r w:rsidRPr="00287CDE">
        <w:t>ed</w:t>
      </w:r>
      <w:proofErr w:type="gramEnd"/>
      <w:r w:rsidRPr="00287CDE">
        <w:t>.). Philadelphia, Pennsylvania: Elsevier Inc. pp. 278-288</w:t>
      </w:r>
    </w:p>
    <w:p w:rsidR="00F93996" w:rsidRPr="00287CDE" w:rsidRDefault="00F93996" w:rsidP="00DF6C96">
      <w:pPr>
        <w:spacing w:line="480" w:lineRule="auto"/>
        <w:ind w:left="720" w:hanging="720"/>
      </w:pPr>
      <w:proofErr w:type="spellStart"/>
      <w:proofErr w:type="gramStart"/>
      <w:r w:rsidRPr="00287CDE">
        <w:t>Olaussen</w:t>
      </w:r>
      <w:proofErr w:type="spellEnd"/>
      <w:r w:rsidRPr="00287CDE">
        <w:t xml:space="preserve">, A., Blackburn, T., </w:t>
      </w:r>
      <w:proofErr w:type="spellStart"/>
      <w:r w:rsidRPr="00287CDE">
        <w:t>Mitra</w:t>
      </w:r>
      <w:proofErr w:type="spellEnd"/>
      <w:r w:rsidRPr="00287CDE">
        <w:t>, B., &amp; Fitzgerald, M. (2014).</w:t>
      </w:r>
      <w:proofErr w:type="gramEnd"/>
      <w:r w:rsidRPr="00287CDE">
        <w:t xml:space="preserve"> Review article: Shock Index for Prediction of Critical </w:t>
      </w:r>
      <w:r w:rsidR="00093F92" w:rsidRPr="00287CDE">
        <w:t>Bleeding</w:t>
      </w:r>
      <w:r w:rsidRPr="00287CDE">
        <w:t xml:space="preserve"> Post-Trauma: A Systemic Review. </w:t>
      </w:r>
      <w:r w:rsidRPr="00287CDE">
        <w:rPr>
          <w:i/>
        </w:rPr>
        <w:t>Emergency Medicine Australia</w:t>
      </w:r>
      <w:r w:rsidRPr="00287CDE">
        <w:t xml:space="preserve">, 26(3): 223-8 </w:t>
      </w:r>
    </w:p>
    <w:sectPr w:rsidR="00F93996" w:rsidRPr="00287CD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CB5" w:rsidRDefault="00757CB5" w:rsidP="00287CDE">
      <w:pPr>
        <w:spacing w:after="0" w:line="240" w:lineRule="auto"/>
      </w:pPr>
      <w:r>
        <w:separator/>
      </w:r>
    </w:p>
  </w:endnote>
  <w:endnote w:type="continuationSeparator" w:id="0">
    <w:p w:rsidR="00757CB5" w:rsidRDefault="00757CB5" w:rsidP="00287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CB5" w:rsidRDefault="00757CB5" w:rsidP="00287CDE">
      <w:pPr>
        <w:spacing w:after="0" w:line="240" w:lineRule="auto"/>
      </w:pPr>
      <w:r>
        <w:separator/>
      </w:r>
    </w:p>
  </w:footnote>
  <w:footnote w:type="continuationSeparator" w:id="0">
    <w:p w:rsidR="00757CB5" w:rsidRDefault="00757CB5" w:rsidP="00287C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5303224"/>
      <w:docPartObj>
        <w:docPartGallery w:val="Page Numbers (Top of Page)"/>
        <w:docPartUnique/>
      </w:docPartObj>
    </w:sdtPr>
    <w:sdtEndPr>
      <w:rPr>
        <w:noProof/>
      </w:rPr>
    </w:sdtEndPr>
    <w:sdtContent>
      <w:p w:rsidR="00287CDE" w:rsidRDefault="00287CDE">
        <w:pPr>
          <w:pStyle w:val="Header"/>
          <w:jc w:val="right"/>
        </w:pPr>
        <w:r>
          <w:fldChar w:fldCharType="begin"/>
        </w:r>
        <w:r>
          <w:instrText xml:space="preserve"> PAGE   \* MERGEFORMAT </w:instrText>
        </w:r>
        <w:r>
          <w:fldChar w:fldCharType="separate"/>
        </w:r>
        <w:r w:rsidR="00276D9D">
          <w:rPr>
            <w:noProof/>
          </w:rPr>
          <w:t>2</w:t>
        </w:r>
        <w:r>
          <w:rPr>
            <w:noProof/>
          </w:rPr>
          <w:fldChar w:fldCharType="end"/>
        </w:r>
      </w:p>
    </w:sdtContent>
  </w:sdt>
  <w:p w:rsidR="00287CDE" w:rsidRDefault="00287C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6BF"/>
    <w:rsid w:val="00093F92"/>
    <w:rsid w:val="001B47EA"/>
    <w:rsid w:val="00254A10"/>
    <w:rsid w:val="00276D9D"/>
    <w:rsid w:val="00287CDE"/>
    <w:rsid w:val="0029191E"/>
    <w:rsid w:val="003B3046"/>
    <w:rsid w:val="006B46AF"/>
    <w:rsid w:val="00757CB5"/>
    <w:rsid w:val="00945F96"/>
    <w:rsid w:val="00AA66BF"/>
    <w:rsid w:val="00C810C7"/>
    <w:rsid w:val="00CC65F9"/>
    <w:rsid w:val="00DB5852"/>
    <w:rsid w:val="00DF3014"/>
    <w:rsid w:val="00DF6C96"/>
    <w:rsid w:val="00ED7D8E"/>
    <w:rsid w:val="00F82136"/>
    <w:rsid w:val="00F93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CDE"/>
  </w:style>
  <w:style w:type="paragraph" w:styleId="Footer">
    <w:name w:val="footer"/>
    <w:basedOn w:val="Normal"/>
    <w:link w:val="FooterChar"/>
    <w:uiPriority w:val="99"/>
    <w:unhideWhenUsed/>
    <w:rsid w:val="00287C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C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CDE"/>
  </w:style>
  <w:style w:type="paragraph" w:styleId="Footer">
    <w:name w:val="footer"/>
    <w:basedOn w:val="Normal"/>
    <w:link w:val="FooterChar"/>
    <w:uiPriority w:val="99"/>
    <w:unhideWhenUsed/>
    <w:rsid w:val="00287C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5</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10</cp:revision>
  <dcterms:created xsi:type="dcterms:W3CDTF">2020-06-25T07:39:00Z</dcterms:created>
  <dcterms:modified xsi:type="dcterms:W3CDTF">2020-06-25T09:09:00Z</dcterms:modified>
</cp:coreProperties>
</file>